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F" w:rsidRPr="00004E18" w:rsidRDefault="002B4FC7" w:rsidP="00BB0189">
      <w:pPr>
        <w:ind w:right="426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8968AF">
        <w:rPr>
          <w:rFonts w:hint="cs"/>
          <w:noProof/>
          <w:sz w:val="16"/>
          <w:szCs w:val="16"/>
          <w:rtl/>
        </w:rPr>
        <w:drawing>
          <wp:anchor distT="0" distB="0" distL="114300" distR="114300" simplePos="0" relativeHeight="251658240" behindDoc="1" locked="0" layoutInCell="1" allowOverlap="1" wp14:anchorId="5C12C70C" wp14:editId="576B067A">
            <wp:simplePos x="0" y="0"/>
            <wp:positionH relativeFrom="margin">
              <wp:posOffset>-989330</wp:posOffset>
            </wp:positionH>
            <wp:positionV relativeFrom="paragraph">
              <wp:posOffset>-1485265</wp:posOffset>
            </wp:positionV>
            <wp:extent cx="6903720" cy="100431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852" r="4445" b="2995"/>
                    <a:stretch/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18">
        <w:rPr>
          <w:rFonts w:ascii="Garamond" w:hAnsi="Garamond" w:cs="Garamond"/>
          <w:b/>
          <w:bCs/>
          <w:color w:val="000000"/>
          <w:sz w:val="28"/>
          <w:szCs w:val="28"/>
        </w:rPr>
        <w:t xml:space="preserve">We </w:t>
      </w:r>
      <w:r w:rsidR="008968AF"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are happy to announce the </w:t>
      </w:r>
      <w:proofErr w:type="gramStart"/>
      <w:r w:rsidR="008968AF"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following </w:t>
      </w:r>
      <w:r w:rsidR="00BB0189">
        <w:rPr>
          <w:rFonts w:ascii="Garamond" w:hAnsi="Garamond" w:cs="Garamond"/>
          <w:b/>
          <w:bCs/>
          <w:color w:val="000000"/>
          <w:sz w:val="28"/>
          <w:szCs w:val="28"/>
        </w:rPr>
        <w:t xml:space="preserve"> Management</w:t>
      </w:r>
      <w:proofErr w:type="gramEnd"/>
      <w:r w:rsidR="00BB0189">
        <w:rPr>
          <w:rFonts w:ascii="Garamond" w:hAnsi="Garamond" w:cs="Garamond"/>
          <w:b/>
          <w:bCs/>
          <w:color w:val="000000"/>
          <w:sz w:val="28"/>
          <w:szCs w:val="28"/>
        </w:rPr>
        <w:t xml:space="preserve"> and OB </w:t>
      </w:r>
      <w:r w:rsidR="008968AF"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seminar </w:t>
      </w:r>
      <w:r w:rsidR="008968AF">
        <w:rPr>
          <w:rFonts w:ascii="Garamond" w:hAnsi="Garamond" w:cs="Garamond"/>
          <w:b/>
          <w:bCs/>
          <w:color w:val="000000"/>
          <w:sz w:val="28"/>
          <w:szCs w:val="28"/>
        </w:rPr>
        <w:t>at</w:t>
      </w:r>
      <w:r w:rsidR="00004E18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004E18">
        <w:rPr>
          <w:rFonts w:ascii="Garamond" w:hAnsi="Garamond"/>
          <w:b/>
          <w:bCs/>
          <w:color w:val="000000"/>
          <w:sz w:val="28"/>
          <w:szCs w:val="28"/>
        </w:rPr>
        <w:t xml:space="preserve">the </w:t>
      </w:r>
      <w:r w:rsidR="00004E18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8968AF" w:rsidRPr="00F070CF">
        <w:rPr>
          <w:rFonts w:ascii="Garamond" w:hAnsi="Garamond" w:cs="Garamond"/>
          <w:b/>
          <w:bCs/>
          <w:color w:val="000000"/>
          <w:sz w:val="28"/>
          <w:szCs w:val="28"/>
        </w:rPr>
        <w:t xml:space="preserve">Graduate School of </w:t>
      </w:r>
      <w:r w:rsidR="008968AF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8968AF" w:rsidRPr="00F070CF">
        <w:rPr>
          <w:rFonts w:ascii="Garamond" w:hAnsi="Garamond" w:cs="Garamond"/>
          <w:b/>
          <w:bCs/>
          <w:color w:val="000000"/>
          <w:sz w:val="28"/>
          <w:szCs w:val="28"/>
        </w:rPr>
        <w:t>Business Administration</w:t>
      </w:r>
    </w:p>
    <w:p w:rsidR="008B27D8" w:rsidRDefault="008B27D8" w:rsidP="00C808EA">
      <w:pPr>
        <w:autoSpaceDE w:val="0"/>
        <w:autoSpaceDN w:val="0"/>
        <w:bidi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Speaker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27D8" w:rsidRDefault="00D62236" w:rsidP="00BB01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Dr. </w:t>
      </w:r>
      <w:proofErr w:type="spellStart"/>
      <w:r w:rsidR="00BB01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Raveh</w:t>
      </w:r>
      <w:proofErr w:type="spellEnd"/>
      <w:r w:rsidR="00BB01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proofErr w:type="spellStart"/>
      <w:r w:rsidR="00BB01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Harush</w:t>
      </w:r>
      <w:proofErr w:type="spellEnd"/>
    </w:p>
    <w:p w:rsidR="00876FCD" w:rsidRPr="00C808EA" w:rsidRDefault="00876FCD" w:rsidP="00876FC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808EA">
        <w:rPr>
          <w:rFonts w:asciiTheme="majorBidi" w:hAnsiTheme="majorBidi" w:cstheme="majorBidi"/>
          <w:b/>
          <w:bCs/>
          <w:color w:val="000000"/>
          <w:sz w:val="24"/>
          <w:szCs w:val="24"/>
        </w:rPr>
        <w:t>University of Illinois at Urbana-Champaign</w:t>
      </w:r>
    </w:p>
    <w:p w:rsidR="008B27D8" w:rsidRPr="00C808EA" w:rsidRDefault="00876FCD" w:rsidP="00876FCD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808EA">
        <w:rPr>
          <w:rFonts w:asciiTheme="majorBidi" w:hAnsiTheme="majorBidi" w:cstheme="majorBidi"/>
          <w:b/>
          <w:bCs/>
          <w:color w:val="000000"/>
          <w:sz w:val="24"/>
          <w:szCs w:val="24"/>
        </w:rPr>
        <w:t>Department of Business Administration</w:t>
      </w:r>
    </w:p>
    <w:p w:rsidR="005034E8" w:rsidRDefault="00DF405D" w:rsidP="00C808EA">
      <w:pPr>
        <w:autoSpaceDE w:val="0"/>
        <w:autoSpaceDN w:val="0"/>
        <w:bidi w:val="0"/>
        <w:adjustRightInd w:val="0"/>
        <w:spacing w:after="0" w:line="240" w:lineRule="auto"/>
        <w:ind w:left="2880" w:firstLine="720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BB7D56">
        <w:rPr>
          <w:rFonts w:ascii="Garamond" w:hAnsi="Garamond" w:cs="Times New Roman"/>
          <w:b/>
          <w:bCs/>
          <w:color w:val="000000"/>
          <w:sz w:val="24"/>
          <w:szCs w:val="24"/>
        </w:rPr>
        <w:t>Title:</w:t>
      </w:r>
    </w:p>
    <w:p w:rsidR="00C808EA" w:rsidRDefault="00C808EA" w:rsidP="00C808EA">
      <w:pPr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C808EA" w:rsidRPr="00C808EA" w:rsidRDefault="00C808EA" w:rsidP="00C808EA">
      <w:pPr>
        <w:spacing w:line="240" w:lineRule="auto"/>
        <w:ind w:right="284"/>
        <w:jc w:val="center"/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</w:pPr>
      <w:r w:rsidRPr="00C808E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Extending the Global Acculturation Model to Untangle the Culture Mixing Puzzle</w:t>
      </w:r>
    </w:p>
    <w:p w:rsidR="00C808EA" w:rsidRPr="00A33FE7" w:rsidRDefault="00C808EA" w:rsidP="00C808EA">
      <w:pPr>
        <w:spacing w:line="48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 w:rsidRPr="00A33FE7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3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8EA" w:rsidRPr="00A33FE7" w:rsidRDefault="00C808EA" w:rsidP="00992AD1">
      <w:pPr>
        <w:spacing w:line="240" w:lineRule="auto"/>
        <w:ind w:left="-144" w:right="709"/>
        <w:jc w:val="right"/>
        <w:rPr>
          <w:rFonts w:ascii="Times New Roman" w:hAnsi="Times New Roman" w:cs="Times New Roman"/>
          <w:sz w:val="24"/>
          <w:szCs w:val="24"/>
        </w:rPr>
      </w:pPr>
      <w:r w:rsidRPr="00A33F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oday’s </w:t>
      </w:r>
      <w:r w:rsidRPr="00A33FE7">
        <w:rPr>
          <w:rFonts w:ascii="Times New Roman" w:hAnsi="Times New Roman" w:cs="Times New Roman"/>
          <w:sz w:val="24"/>
          <w:szCs w:val="24"/>
        </w:rPr>
        <w:t xml:space="preserve">globalized environment exposes people to </w:t>
      </w:r>
      <w:r w:rsidRPr="00A33FE7">
        <w:rPr>
          <w:rFonts w:ascii="Times New Roman" w:hAnsi="Times New Roman" w:cs="Times New Roman"/>
          <w:iCs/>
          <w:sz w:val="24"/>
          <w:szCs w:val="24"/>
        </w:rPr>
        <w:t>culture mixing</w:t>
      </w:r>
      <w:r w:rsidRPr="00A33FE7">
        <w:rPr>
          <w:rFonts w:ascii="Times New Roman" w:hAnsi="Times New Roman" w:cs="Times New Roman"/>
          <w:sz w:val="24"/>
          <w:szCs w:val="24"/>
        </w:rPr>
        <w:t xml:space="preserve"> – mixing of iconic symbols of different cultures in the same space at the same time. Findings on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A33FE7">
        <w:rPr>
          <w:rFonts w:ascii="Times New Roman" w:hAnsi="Times New Roman" w:cs="Times New Roman"/>
          <w:sz w:val="24"/>
          <w:szCs w:val="24"/>
        </w:rPr>
        <w:t xml:space="preserve">exposure to culture mixing are seemingly inconsistent, providing evidence for both exclusionary and </w:t>
      </w:r>
      <w:r>
        <w:rPr>
          <w:rFonts w:ascii="Times New Roman" w:hAnsi="Times New Roman" w:cs="Times New Roman"/>
          <w:sz w:val="24"/>
          <w:szCs w:val="24"/>
        </w:rPr>
        <w:t>inclusionary responses</w:t>
      </w:r>
      <w:r w:rsidRPr="00A33FE7">
        <w:rPr>
          <w:rFonts w:ascii="Times New Roman" w:hAnsi="Times New Roman" w:cs="Times New Roman"/>
          <w:sz w:val="24"/>
          <w:szCs w:val="24"/>
        </w:rPr>
        <w:t>. In this paper we focus on the growing phenomenon of culture mixing between global and local</w:t>
      </w:r>
      <w:r>
        <w:rPr>
          <w:rFonts w:ascii="Times New Roman" w:hAnsi="Times New Roman" w:cs="Times New Roman"/>
          <w:sz w:val="24"/>
          <w:szCs w:val="24"/>
        </w:rPr>
        <w:t xml:space="preserve"> symbols and artifacts</w:t>
      </w:r>
      <w:r w:rsidRPr="00A33FE7">
        <w:rPr>
          <w:rFonts w:ascii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A33FE7">
        <w:rPr>
          <w:rFonts w:ascii="Times New Roman" w:hAnsi="Times New Roman" w:cs="Times New Roman"/>
          <w:sz w:val="24"/>
          <w:szCs w:val="24"/>
        </w:rPr>
        <w:t xml:space="preserve">generated a conceptual model to </w:t>
      </w: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Pr="00A33FE7">
        <w:rPr>
          <w:rFonts w:ascii="Times New Roman" w:hAnsi="Times New Roman" w:cs="Times New Roman"/>
          <w:sz w:val="24"/>
          <w:szCs w:val="24"/>
        </w:rPr>
        <w:t xml:space="preserve">who is likely to respond </w:t>
      </w:r>
      <w:r>
        <w:rPr>
          <w:rFonts w:ascii="Times New Roman" w:hAnsi="Times New Roman" w:cs="Times New Roman"/>
          <w:sz w:val="24"/>
          <w:szCs w:val="24"/>
        </w:rPr>
        <w:t xml:space="preserve">in what way </w:t>
      </w:r>
      <w:r w:rsidRPr="00A33FE7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mixed </w:t>
      </w:r>
      <w:r w:rsidRPr="00A33FE7">
        <w:rPr>
          <w:rFonts w:ascii="Times New Roman" w:hAnsi="Times New Roman" w:cs="Times New Roman"/>
          <w:sz w:val="24"/>
          <w:szCs w:val="24"/>
        </w:rPr>
        <w:t>cultur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A3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environment</w:t>
      </w:r>
      <w:r w:rsidRPr="00A33FE7">
        <w:rPr>
          <w:rFonts w:ascii="Times New Roman" w:hAnsi="Times New Roman" w:cs="Times New Roman"/>
          <w:sz w:val="24"/>
          <w:szCs w:val="24"/>
        </w:rPr>
        <w:t xml:space="preserve">, and why. To answer these questions 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A33FE7">
        <w:rPr>
          <w:rFonts w:ascii="Times New Roman" w:hAnsi="Times New Roman" w:cs="Times New Roman"/>
          <w:sz w:val="24"/>
          <w:szCs w:val="24"/>
        </w:rPr>
        <w:t xml:space="preserve">built upon the global acculturation model, which proposes to explain individuals’ adaptation to the </w:t>
      </w:r>
      <w:r w:rsidRPr="003901D1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z w:val="24"/>
          <w:szCs w:val="24"/>
        </w:rPr>
        <w:t>environment</w:t>
      </w:r>
      <w:r w:rsidRPr="00A33FE7">
        <w:rPr>
          <w:rFonts w:ascii="Times New Roman" w:hAnsi="Times New Roman" w:cs="Times New Roman"/>
          <w:sz w:val="24"/>
          <w:szCs w:val="24"/>
        </w:rPr>
        <w:t xml:space="preserve"> by looking at the relative strength of their local and global identity. We extend this model by considering not only the </w:t>
      </w:r>
      <w:r>
        <w:rPr>
          <w:rFonts w:ascii="Times New Roman" w:hAnsi="Times New Roman" w:cs="Times New Roman"/>
          <w:sz w:val="24"/>
          <w:szCs w:val="24"/>
        </w:rPr>
        <w:t xml:space="preserve">two entities’ </w:t>
      </w:r>
      <w:r w:rsidRPr="00A33FE7">
        <w:rPr>
          <w:rFonts w:ascii="Times New Roman" w:hAnsi="Times New Roman" w:cs="Times New Roman"/>
          <w:sz w:val="24"/>
          <w:szCs w:val="24"/>
        </w:rPr>
        <w:t xml:space="preserve">relative strength but also their balance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33FE7">
        <w:rPr>
          <w:rFonts w:ascii="Times New Roman" w:hAnsi="Times New Roman" w:cs="Times New Roman"/>
          <w:sz w:val="24"/>
          <w:szCs w:val="24"/>
        </w:rPr>
        <w:t>the degree of symmetry between identities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33FE7">
        <w:rPr>
          <w:rFonts w:ascii="Times New Roman" w:hAnsi="Times New Roman" w:cs="Times New Roman"/>
          <w:sz w:val="24"/>
          <w:szCs w:val="24"/>
        </w:rPr>
        <w:t xml:space="preserve"> strength.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33FE7">
        <w:rPr>
          <w:rFonts w:ascii="Times New Roman" w:hAnsi="Times New Roman" w:cs="Times New Roman"/>
          <w:sz w:val="24"/>
          <w:szCs w:val="24"/>
        </w:rPr>
        <w:t>e propose that individuals with dominant (unbalanced) identity types (global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33FE7">
        <w:rPr>
          <w:rFonts w:ascii="Times New Roman" w:hAnsi="Times New Roman" w:cs="Times New Roman"/>
          <w:sz w:val="24"/>
          <w:szCs w:val="24"/>
        </w:rPr>
        <w:t>local) will exhibit negative and exclusionary responses to culture mixing, while individuals with balanced identity types (</w:t>
      </w:r>
      <w:proofErr w:type="spellStart"/>
      <w:r w:rsidRPr="00A33FE7">
        <w:rPr>
          <w:rFonts w:ascii="Times New Roman" w:hAnsi="Times New Roman" w:cs="Times New Roman"/>
          <w:sz w:val="24"/>
          <w:szCs w:val="24"/>
        </w:rPr>
        <w:t>glocal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33FE7">
        <w:rPr>
          <w:rFonts w:ascii="Times New Roman" w:hAnsi="Times New Roman" w:cs="Times New Roman"/>
          <w:sz w:val="24"/>
          <w:szCs w:val="24"/>
        </w:rPr>
        <w:t xml:space="preserve">marginal) will exhibit positive and </w:t>
      </w:r>
      <w:r>
        <w:rPr>
          <w:rFonts w:ascii="Times New Roman" w:hAnsi="Times New Roman" w:cs="Times New Roman"/>
          <w:sz w:val="24"/>
          <w:szCs w:val="24"/>
        </w:rPr>
        <w:t>inclusive</w:t>
      </w:r>
      <w:r w:rsidRPr="00A33FE7">
        <w:rPr>
          <w:rFonts w:ascii="Times New Roman" w:hAnsi="Times New Roman" w:cs="Times New Roman"/>
          <w:sz w:val="24"/>
          <w:szCs w:val="24"/>
        </w:rPr>
        <w:t xml:space="preserve"> responses to culture mixing. We also incorporate the concept of bicultural identity integration (BII), to suggest that individuals with high identification with both cultures (</w:t>
      </w:r>
      <w:proofErr w:type="spellStart"/>
      <w:r w:rsidRPr="00A33FE7">
        <w:rPr>
          <w:rFonts w:ascii="Times New Roman" w:hAnsi="Times New Roman" w:cs="Times New Roman"/>
          <w:sz w:val="24"/>
          <w:szCs w:val="24"/>
        </w:rPr>
        <w:t>glocal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33FE7">
        <w:rPr>
          <w:rFonts w:ascii="Times New Roman" w:hAnsi="Times New Roman" w:cs="Times New Roman"/>
          <w:sz w:val="24"/>
          <w:szCs w:val="24"/>
        </w:rPr>
        <w:t xml:space="preserve">) with high BII will exhibit more </w:t>
      </w:r>
      <w:r>
        <w:rPr>
          <w:rFonts w:ascii="Times New Roman" w:hAnsi="Times New Roman" w:cs="Times New Roman"/>
          <w:sz w:val="24"/>
          <w:szCs w:val="24"/>
        </w:rPr>
        <w:t>inclusive</w:t>
      </w:r>
      <w:r w:rsidRPr="00A33FE7">
        <w:rPr>
          <w:rFonts w:ascii="Times New Roman" w:hAnsi="Times New Roman" w:cs="Times New Roman"/>
          <w:sz w:val="24"/>
          <w:szCs w:val="24"/>
        </w:rPr>
        <w:t xml:space="preserve"> responses than </w:t>
      </w:r>
      <w:proofErr w:type="spellStart"/>
      <w:r w:rsidRPr="00A33FE7">
        <w:rPr>
          <w:rFonts w:ascii="Times New Roman" w:hAnsi="Times New Roman" w:cs="Times New Roman"/>
          <w:sz w:val="24"/>
          <w:szCs w:val="24"/>
        </w:rPr>
        <w:t>glocal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33FE7">
        <w:rPr>
          <w:rFonts w:ascii="Times New Roman" w:hAnsi="Times New Roman" w:cs="Times New Roman"/>
          <w:sz w:val="24"/>
          <w:szCs w:val="24"/>
        </w:rPr>
        <w:t xml:space="preserve"> with low BII. Theoretical and practical implications are discussed.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7" w:rsidRPr="00E9722F" w:rsidRDefault="00AA6EF7" w:rsidP="00C808EA">
      <w:pPr>
        <w:autoSpaceDE w:val="0"/>
        <w:autoSpaceDN w:val="0"/>
        <w:bidi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8968AF" w:rsidRDefault="008968AF" w:rsidP="00FA733C">
      <w:pPr>
        <w:autoSpaceDE w:val="0"/>
        <w:autoSpaceDN w:val="0"/>
        <w:bidi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Tuesday, </w:t>
      </w:r>
      <w:proofErr w:type="gramStart"/>
      <w:r w:rsidR="00C808EA">
        <w:rPr>
          <w:rFonts w:ascii="Garamond" w:hAnsi="Garamond"/>
          <w:b/>
          <w:bCs/>
          <w:color w:val="000000"/>
          <w:sz w:val="24"/>
          <w:szCs w:val="24"/>
        </w:rPr>
        <w:t xml:space="preserve">December </w:t>
      </w:r>
      <w:r w:rsidR="00604474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="00C808EA">
        <w:rPr>
          <w:rFonts w:ascii="Garamond" w:hAnsi="Garamond"/>
          <w:b/>
          <w:bCs/>
          <w:color w:val="000000"/>
          <w:sz w:val="24"/>
          <w:szCs w:val="24"/>
        </w:rPr>
        <w:t>29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, </w:t>
      </w:r>
      <w:r w:rsidR="00604474">
        <w:rPr>
          <w:rFonts w:ascii="Garamond" w:hAnsi="Garamond" w:cs="Garamond"/>
          <w:b/>
          <w:bCs/>
          <w:color w:val="000000"/>
          <w:sz w:val="24"/>
          <w:szCs w:val="24"/>
        </w:rPr>
        <w:t>201</w:t>
      </w:r>
      <w:r w:rsidR="00C808EA">
        <w:rPr>
          <w:rFonts w:ascii="Garamond" w:hAnsi="Garamond" w:cs="Garamond"/>
          <w:b/>
          <w:bCs/>
          <w:color w:val="000000"/>
          <w:sz w:val="24"/>
          <w:szCs w:val="24"/>
        </w:rPr>
        <w:t>5</w:t>
      </w:r>
      <w:r w:rsidR="00604474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14:00</w:t>
      </w:r>
    </w:p>
    <w:p w:rsidR="00EF0494" w:rsidRDefault="008968AF" w:rsidP="00FA733C">
      <w:pPr>
        <w:autoSpaceDE w:val="0"/>
        <w:autoSpaceDN w:val="0"/>
        <w:bidi w:val="0"/>
        <w:adjustRightInd w:val="0"/>
        <w:spacing w:after="0" w:line="240" w:lineRule="auto"/>
        <w:ind w:left="262" w:firstLine="589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Seminar room (11), Ground Floor, </w:t>
      </w:r>
    </w:p>
    <w:p w:rsidR="008968AF" w:rsidRDefault="000C51FE" w:rsidP="00EF0494">
      <w:pPr>
        <w:autoSpaceDE w:val="0"/>
        <w:autoSpaceDN w:val="0"/>
        <w:bidi w:val="0"/>
        <w:adjustRightInd w:val="0"/>
        <w:spacing w:after="0" w:line="240" w:lineRule="auto"/>
        <w:ind w:left="262" w:firstLine="589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</w:t>
      </w:r>
      <w:r w:rsidR="008968AF">
        <w:rPr>
          <w:rFonts w:ascii="Garamond" w:hAnsi="Garamond" w:cs="Garamond"/>
          <w:b/>
          <w:bCs/>
          <w:color w:val="000000"/>
          <w:sz w:val="24"/>
          <w:szCs w:val="24"/>
        </w:rPr>
        <w:t>Economics and Business</w:t>
      </w:r>
      <w:r w:rsidR="00896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68AF">
        <w:rPr>
          <w:rFonts w:ascii="Garamond" w:hAnsi="Garamond" w:cs="Garamond"/>
          <w:b/>
          <w:bCs/>
          <w:color w:val="000000"/>
          <w:sz w:val="24"/>
          <w:szCs w:val="24"/>
        </w:rPr>
        <w:t xml:space="preserve">School </w:t>
      </w:r>
      <w:r w:rsidR="00573A5F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="008968AF">
        <w:rPr>
          <w:rFonts w:ascii="Garamond" w:hAnsi="Garamond" w:cs="Garamond"/>
          <w:b/>
          <w:bCs/>
          <w:color w:val="000000"/>
          <w:sz w:val="24"/>
          <w:szCs w:val="24"/>
        </w:rPr>
        <w:t>Building (504)</w:t>
      </w:r>
    </w:p>
    <w:p w:rsidR="00573A5F" w:rsidRDefault="00573A5F" w:rsidP="00FA733C">
      <w:pPr>
        <w:autoSpaceDE w:val="0"/>
        <w:autoSpaceDN w:val="0"/>
        <w:bidi w:val="0"/>
        <w:adjustRightInd w:val="0"/>
        <w:spacing w:after="0" w:line="240" w:lineRule="auto"/>
        <w:rPr>
          <w:rFonts w:cs="Calibri"/>
          <w:color w:val="004080"/>
          <w:sz w:val="24"/>
          <w:szCs w:val="24"/>
        </w:rPr>
      </w:pPr>
      <w:r>
        <w:rPr>
          <w:rFonts w:cs="Calibri"/>
          <w:color w:val="004080"/>
          <w:sz w:val="24"/>
          <w:szCs w:val="24"/>
        </w:rPr>
        <w:t xml:space="preserve">                   </w:t>
      </w:r>
    </w:p>
    <w:sectPr w:rsidR="00573A5F" w:rsidSect="0046626F">
      <w:footerReference w:type="default" r:id="rId8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5D" w:rsidRDefault="00DF405D" w:rsidP="00D036F0">
      <w:pPr>
        <w:spacing w:after="0" w:line="240" w:lineRule="auto"/>
      </w:pPr>
      <w:r>
        <w:separator/>
      </w:r>
    </w:p>
  </w:endnote>
  <w:endnote w:type="continuationSeparator" w:id="0">
    <w:p w:rsidR="00DF405D" w:rsidRDefault="00DF405D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D" w:rsidRDefault="00DF405D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5D" w:rsidRDefault="00DF405D" w:rsidP="00D036F0">
      <w:pPr>
        <w:spacing w:after="0" w:line="240" w:lineRule="auto"/>
      </w:pPr>
      <w:r>
        <w:separator/>
      </w:r>
    </w:p>
  </w:footnote>
  <w:footnote w:type="continuationSeparator" w:id="0">
    <w:p w:rsidR="00DF405D" w:rsidRDefault="00DF405D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4E18"/>
    <w:rsid w:val="00043951"/>
    <w:rsid w:val="0004780C"/>
    <w:rsid w:val="00084A44"/>
    <w:rsid w:val="000A205B"/>
    <w:rsid w:val="000B5ED7"/>
    <w:rsid w:val="000C51FE"/>
    <w:rsid w:val="00255B81"/>
    <w:rsid w:val="002B4FC7"/>
    <w:rsid w:val="003C5741"/>
    <w:rsid w:val="003E5B09"/>
    <w:rsid w:val="00432809"/>
    <w:rsid w:val="0046626F"/>
    <w:rsid w:val="004A4249"/>
    <w:rsid w:val="005034E8"/>
    <w:rsid w:val="005107CC"/>
    <w:rsid w:val="005157F5"/>
    <w:rsid w:val="00525693"/>
    <w:rsid w:val="00567D31"/>
    <w:rsid w:val="00573A5F"/>
    <w:rsid w:val="005A3972"/>
    <w:rsid w:val="005A5C43"/>
    <w:rsid w:val="005B54C4"/>
    <w:rsid w:val="005B6320"/>
    <w:rsid w:val="005D73AD"/>
    <w:rsid w:val="00604474"/>
    <w:rsid w:val="006B400B"/>
    <w:rsid w:val="007009F9"/>
    <w:rsid w:val="0072054C"/>
    <w:rsid w:val="00747D81"/>
    <w:rsid w:val="00760FED"/>
    <w:rsid w:val="007617A1"/>
    <w:rsid w:val="007635BF"/>
    <w:rsid w:val="00816A49"/>
    <w:rsid w:val="00876FCD"/>
    <w:rsid w:val="00895D89"/>
    <w:rsid w:val="008968AF"/>
    <w:rsid w:val="008A2756"/>
    <w:rsid w:val="008B27D8"/>
    <w:rsid w:val="008B6FD0"/>
    <w:rsid w:val="008D55A3"/>
    <w:rsid w:val="00902B97"/>
    <w:rsid w:val="00910417"/>
    <w:rsid w:val="00925C7E"/>
    <w:rsid w:val="00987A88"/>
    <w:rsid w:val="00992AD1"/>
    <w:rsid w:val="00995422"/>
    <w:rsid w:val="009C579D"/>
    <w:rsid w:val="009F0FC6"/>
    <w:rsid w:val="009F4AE4"/>
    <w:rsid w:val="00A2548A"/>
    <w:rsid w:val="00A5397F"/>
    <w:rsid w:val="00AA6EF7"/>
    <w:rsid w:val="00AB6FFD"/>
    <w:rsid w:val="00AF5EEB"/>
    <w:rsid w:val="00BA2615"/>
    <w:rsid w:val="00BA6197"/>
    <w:rsid w:val="00BB0189"/>
    <w:rsid w:val="00C30E6D"/>
    <w:rsid w:val="00C808EA"/>
    <w:rsid w:val="00D036F0"/>
    <w:rsid w:val="00D17AB6"/>
    <w:rsid w:val="00D46ECF"/>
    <w:rsid w:val="00D62236"/>
    <w:rsid w:val="00DA0784"/>
    <w:rsid w:val="00DA2CB4"/>
    <w:rsid w:val="00DC2A0C"/>
    <w:rsid w:val="00DE6A91"/>
    <w:rsid w:val="00DF405D"/>
    <w:rsid w:val="00E14EB3"/>
    <w:rsid w:val="00E2124B"/>
    <w:rsid w:val="00E628C3"/>
    <w:rsid w:val="00E9722F"/>
    <w:rsid w:val="00EC58EA"/>
    <w:rsid w:val="00EF0494"/>
    <w:rsid w:val="00F02209"/>
    <w:rsid w:val="00F63172"/>
    <w:rsid w:val="00FA733C"/>
    <w:rsid w:val="00FD72A8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4120CB8-74F5-4D4E-BE49-2230587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22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FFD"/>
    <w:pPr>
      <w:keepNext/>
      <w:spacing w:after="0" w:line="48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20">
    <w:name w:val="כותרת 2 תו"/>
    <w:basedOn w:val="a0"/>
    <w:link w:val="2"/>
    <w:uiPriority w:val="9"/>
    <w:semiHidden/>
    <w:rsid w:val="00AB6FFD"/>
    <w:rPr>
      <w:rFonts w:ascii="Times New Roman" w:eastAsia="Times New Roman" w:hAnsi="Times New Roman" w:cs="Times New Roman"/>
      <w:i/>
      <w:i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1213-84C1-4CC6-8F95-C435A5F3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7</cp:revision>
  <cp:lastPrinted>2015-03-03T12:24:00Z</cp:lastPrinted>
  <dcterms:created xsi:type="dcterms:W3CDTF">2015-12-20T12:45:00Z</dcterms:created>
  <dcterms:modified xsi:type="dcterms:W3CDTF">2015-12-20T13:01:00Z</dcterms:modified>
</cp:coreProperties>
</file>