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F" w:rsidRPr="00D415F5" w:rsidRDefault="002B4FC7" w:rsidP="00AF2499">
      <w:pPr>
        <w:ind w:right="567"/>
        <w:jc w:val="center"/>
        <w:rPr>
          <w:rFonts w:ascii="Garamond" w:hAnsi="Garamond"/>
          <w:b/>
          <w:bCs/>
          <w:color w:val="000000"/>
          <w:sz w:val="28"/>
          <w:szCs w:val="28"/>
          <w:rtl/>
        </w:rPr>
      </w:pPr>
      <w:bookmarkStart w:id="0" w:name="_GoBack"/>
      <w:r w:rsidRPr="00D415F5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C12C70C" wp14:editId="576B067A">
            <wp:simplePos x="0" y="0"/>
            <wp:positionH relativeFrom="margin">
              <wp:align>center</wp:align>
            </wp:positionH>
            <wp:positionV relativeFrom="paragraph">
              <wp:posOffset>-1742440</wp:posOffset>
            </wp:positionV>
            <wp:extent cx="6903720" cy="100431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r ilan 7.9.14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852" r="4445" b="2995"/>
                    <a:stretch/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4E18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We </w:t>
      </w:r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are happy to announce the following </w:t>
      </w:r>
      <w:r w:rsidR="0050480B">
        <w:rPr>
          <w:rFonts w:ascii="Garamond" w:hAnsi="Garamond" w:cs="Garamond"/>
          <w:b/>
          <w:bCs/>
          <w:color w:val="000000"/>
          <w:sz w:val="28"/>
          <w:szCs w:val="28"/>
        </w:rPr>
        <w:t>Department</w:t>
      </w:r>
      <w:r w:rsidR="00B1176D">
        <w:rPr>
          <w:rFonts w:ascii="Garamond" w:hAnsi="Garamond" w:cs="Garamond"/>
          <w:b/>
          <w:bCs/>
          <w:color w:val="000000"/>
          <w:sz w:val="28"/>
          <w:szCs w:val="28"/>
        </w:rPr>
        <w:t>al</w:t>
      </w:r>
      <w:r w:rsidR="00FE0EF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>seminar at</w:t>
      </w:r>
      <w:r w:rsidR="00B1176D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gramStart"/>
      <w:r w:rsidR="00004E18" w:rsidRPr="00D415F5">
        <w:rPr>
          <w:rFonts w:ascii="Garamond" w:hAnsi="Garamond"/>
          <w:b/>
          <w:bCs/>
          <w:color w:val="000000"/>
          <w:sz w:val="28"/>
          <w:szCs w:val="28"/>
        </w:rPr>
        <w:t xml:space="preserve">the </w:t>
      </w:r>
      <w:r w:rsidR="00004E18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>Graduate</w:t>
      </w:r>
      <w:proofErr w:type="gramEnd"/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School of  Business Administration</w:t>
      </w:r>
    </w:p>
    <w:p w:rsidR="00B86EF3" w:rsidRDefault="00B86EF3" w:rsidP="000316A0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:rsidR="00D415F5" w:rsidRDefault="00D415F5" w:rsidP="00D415F5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:rsidR="008B27D8" w:rsidRDefault="008B27D8" w:rsidP="00B86EF3">
      <w:pPr>
        <w:autoSpaceDE w:val="0"/>
        <w:autoSpaceDN w:val="0"/>
        <w:bidi w:val="0"/>
        <w:adjustRightInd w:val="0"/>
        <w:ind w:left="2880" w:firstLine="720"/>
        <w:rPr>
          <w:rFonts w:ascii="Times New Roman" w:hAnsi="Times New Roman"/>
          <w:color w:val="000000"/>
        </w:rPr>
      </w:pPr>
      <w:r>
        <w:rPr>
          <w:rFonts w:ascii="Garamond" w:hAnsi="Garamond"/>
          <w:b/>
          <w:bCs/>
          <w:color w:val="000000"/>
        </w:rPr>
        <w:t>Speaker</w:t>
      </w:r>
      <w:r>
        <w:rPr>
          <w:rFonts w:ascii="Times New Roman" w:hAnsi="Times New Roman"/>
          <w:color w:val="000000"/>
        </w:rPr>
        <w:t>:</w:t>
      </w:r>
    </w:p>
    <w:p w:rsidR="008B27D8" w:rsidRPr="007C3BDA" w:rsidRDefault="00512495" w:rsidP="00041E06">
      <w:pPr>
        <w:autoSpaceDE w:val="0"/>
        <w:autoSpaceDN w:val="0"/>
        <w:bidi w:val="0"/>
        <w:adjustRightInd w:val="0"/>
        <w:jc w:val="center"/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Dr</w:t>
      </w:r>
      <w:r w:rsidR="00D62236" w:rsidRPr="006D481C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color w:val="000000"/>
          <w:sz w:val="44"/>
          <w:szCs w:val="44"/>
        </w:rPr>
        <w:t>Erez</w:t>
      </w:r>
      <w:proofErr w:type="spellEnd"/>
      <w:r>
        <w:rPr>
          <w:rFonts w:asciiTheme="majorBidi" w:hAnsiTheme="majorBidi" w:cstheme="majorBidi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44"/>
          <w:szCs w:val="44"/>
        </w:rPr>
        <w:t>Yaakobi</w:t>
      </w:r>
      <w:proofErr w:type="spellEnd"/>
      <w:r w:rsidR="00764666">
        <w:rPr>
          <w:rFonts w:asciiTheme="majorBidi" w:hAnsiTheme="majorBidi" w:cstheme="majorBidi"/>
          <w:b/>
          <w:bCs/>
          <w:color w:val="000000"/>
          <w:sz w:val="44"/>
          <w:szCs w:val="44"/>
        </w:rPr>
        <w:t xml:space="preserve"> </w:t>
      </w:r>
      <w:r w:rsidR="006D481C">
        <w:rPr>
          <w:rFonts w:ascii="Courier" w:hAnsi="Courier" w:cs="Courier"/>
          <w:color w:val="000000"/>
          <w:sz w:val="20"/>
          <w:szCs w:val="20"/>
        </w:rPr>
        <w:br/>
      </w:r>
      <w:r w:rsidR="00041E06">
        <w:rPr>
          <w:rFonts w:asciiTheme="majorBidi" w:hAnsiTheme="majorBidi" w:cstheme="majorBidi"/>
          <w:b/>
          <w:bCs/>
          <w:color w:val="000000"/>
        </w:rPr>
        <w:t>Ono Academic College and</w:t>
      </w:r>
      <w:r w:rsidR="00457051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Bar-</w:t>
      </w:r>
      <w:proofErr w:type="spellStart"/>
      <w:proofErr w:type="gramStart"/>
      <w:r>
        <w:rPr>
          <w:rFonts w:asciiTheme="majorBidi" w:hAnsiTheme="majorBidi" w:cstheme="majorBidi"/>
          <w:b/>
          <w:bCs/>
          <w:color w:val="000000"/>
        </w:rPr>
        <w:t>Ilan</w:t>
      </w:r>
      <w:proofErr w:type="spellEnd"/>
      <w:r w:rsidR="00457051">
        <w:rPr>
          <w:rFonts w:asciiTheme="majorBidi" w:hAnsiTheme="majorBidi" w:cstheme="majorBidi"/>
          <w:b/>
          <w:bCs/>
          <w:color w:val="000000"/>
        </w:rPr>
        <w:t xml:space="preserve">  </w:t>
      </w:r>
      <w:r w:rsidR="006D481C" w:rsidRPr="006D481C">
        <w:rPr>
          <w:rFonts w:asciiTheme="majorBidi" w:hAnsiTheme="majorBidi" w:cstheme="majorBidi"/>
          <w:b/>
          <w:bCs/>
          <w:color w:val="000000"/>
        </w:rPr>
        <w:t>University</w:t>
      </w:r>
      <w:proofErr w:type="gramEnd"/>
      <w:r w:rsidR="006D481C" w:rsidRPr="006D481C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0125D8" w:rsidRPr="008B27D8" w:rsidRDefault="007C3BDA" w:rsidP="006D481C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ab/>
      </w:r>
      <w:r w:rsidR="000125D8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6D481C" w:rsidRPr="007C3BDA" w:rsidRDefault="006D481C" w:rsidP="008968A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034E8" w:rsidRDefault="00DF405D" w:rsidP="000316A0">
      <w:pPr>
        <w:autoSpaceDE w:val="0"/>
        <w:autoSpaceDN w:val="0"/>
        <w:bidi w:val="0"/>
        <w:adjustRightInd w:val="0"/>
        <w:ind w:left="2880" w:firstLine="7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B7D56">
        <w:rPr>
          <w:rFonts w:ascii="Garamond" w:hAnsi="Garamond"/>
          <w:b/>
          <w:bCs/>
          <w:color w:val="000000"/>
        </w:rPr>
        <w:t>Title:</w:t>
      </w:r>
    </w:p>
    <w:p w:rsidR="00512495" w:rsidRDefault="00512495" w:rsidP="00512495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12495">
        <w:rPr>
          <w:rFonts w:asciiTheme="majorBidi" w:hAnsiTheme="majorBidi" w:cstheme="majorBidi"/>
          <w:b/>
          <w:bCs/>
          <w:i/>
          <w:iCs/>
          <w:sz w:val="32"/>
          <w:szCs w:val="32"/>
        </w:rPr>
        <w:t>Managers' Evaluations of Individual, Group and Organizational Efficacies in Predicting Performance:</w:t>
      </w:r>
    </w:p>
    <w:p w:rsidR="006D481C" w:rsidRPr="00512495" w:rsidRDefault="00512495" w:rsidP="00512495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1249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A Hierarchical Model</w:t>
      </w:r>
    </w:p>
    <w:p w:rsidR="006D481C" w:rsidRDefault="006D481C" w:rsidP="00512495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8C6B7B" w:rsidRDefault="008C6B7B" w:rsidP="006D481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Abstract</w:t>
      </w:r>
      <w:r w:rsidR="002100CD">
        <w:rPr>
          <w:rFonts w:asciiTheme="majorBidi" w:hAnsiTheme="majorBidi" w:cstheme="majorBidi"/>
          <w:b/>
          <w:bCs/>
        </w:rPr>
        <w:t>:</w:t>
      </w:r>
    </w:p>
    <w:p w:rsidR="00512495" w:rsidRDefault="00B1176D" w:rsidP="00512495">
      <w:pPr>
        <w:ind w:left="426" w:right="567"/>
        <w:jc w:val="right"/>
        <w:rPr>
          <w:rFonts w:asciiTheme="majorBidi" w:hAnsiTheme="majorBidi" w:cstheme="majorBidi"/>
        </w:rPr>
      </w:pPr>
      <w:r w:rsidRPr="00615232">
        <w:rPr>
          <w:rFonts w:asciiTheme="majorBidi" w:hAnsiTheme="majorBidi" w:cstheme="majorBidi"/>
        </w:rPr>
        <w:tab/>
      </w:r>
      <w:r w:rsidR="00512495" w:rsidRPr="00C6384A">
        <w:rPr>
          <w:rFonts w:asciiTheme="majorBidi" w:hAnsiTheme="majorBidi" w:cstheme="majorBidi"/>
        </w:rPr>
        <w:t>This study develops a conceptual framework for predicting three facets of employee performance</w:t>
      </w:r>
      <w:r w:rsidR="00512495">
        <w:rPr>
          <w:rFonts w:asciiTheme="majorBidi" w:hAnsiTheme="majorBidi" w:cstheme="majorBidi"/>
        </w:rPr>
        <w:t xml:space="preserve"> (</w:t>
      </w:r>
      <w:r w:rsidR="00512495" w:rsidRPr="00C6384A">
        <w:rPr>
          <w:rFonts w:asciiTheme="majorBidi" w:hAnsiTheme="majorBidi" w:cstheme="majorBidi"/>
        </w:rPr>
        <w:t>quality, innovation and efficiency</w:t>
      </w:r>
      <w:r w:rsidR="00512495">
        <w:rPr>
          <w:rFonts w:asciiTheme="majorBidi" w:hAnsiTheme="majorBidi" w:cstheme="majorBidi"/>
        </w:rPr>
        <w:t>),</w:t>
      </w:r>
    </w:p>
    <w:p w:rsidR="00512495" w:rsidRPr="00C6384A" w:rsidRDefault="00512495" w:rsidP="00512495">
      <w:pPr>
        <w:shd w:val="clear" w:color="auto" w:fill="FFFFFF"/>
        <w:ind w:right="567" w:firstLine="7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based</w:t>
      </w:r>
      <w:proofErr w:type="gramEnd"/>
      <w:r>
        <w:rPr>
          <w:rFonts w:asciiTheme="majorBidi" w:hAnsiTheme="majorBidi" w:cstheme="majorBidi"/>
        </w:rPr>
        <w:t xml:space="preserve"> on </w:t>
      </w:r>
      <w:r w:rsidRPr="00C6384A">
        <w:rPr>
          <w:rFonts w:asciiTheme="majorBidi" w:hAnsiTheme="majorBidi" w:cstheme="majorBidi"/>
        </w:rPr>
        <w:t>individual (</w:t>
      </w:r>
      <w:r w:rsidRPr="00C6384A">
        <w:rPr>
          <w:rFonts w:asciiTheme="majorBidi" w:hAnsiTheme="majorBidi" w:cstheme="majorBidi"/>
          <w:i/>
          <w:iCs/>
        </w:rPr>
        <w:t>self and occupational efficacies</w:t>
      </w:r>
      <w:r w:rsidRPr="00C6384A">
        <w:rPr>
          <w:rFonts w:asciiTheme="majorBidi" w:hAnsiTheme="majorBidi" w:cstheme="majorBidi"/>
        </w:rPr>
        <w:t>), group (</w:t>
      </w:r>
      <w:r w:rsidRPr="00C6384A">
        <w:rPr>
          <w:rFonts w:asciiTheme="majorBidi" w:hAnsiTheme="majorBidi" w:cstheme="majorBidi"/>
          <w:i/>
          <w:iCs/>
        </w:rPr>
        <w:t>collective efficacy</w:t>
      </w:r>
      <w:r w:rsidRPr="00C6384A">
        <w:rPr>
          <w:rFonts w:asciiTheme="majorBidi" w:hAnsiTheme="majorBidi" w:cstheme="majorBidi"/>
        </w:rPr>
        <w:t>) and organizational (</w:t>
      </w:r>
      <w:r w:rsidRPr="00C6384A">
        <w:rPr>
          <w:rFonts w:asciiTheme="majorBidi" w:hAnsiTheme="majorBidi" w:cstheme="majorBidi"/>
          <w:i/>
          <w:iCs/>
        </w:rPr>
        <w:t>means efficacy</w:t>
      </w:r>
      <w:r w:rsidRPr="00C6384A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>levels</w:t>
      </w:r>
      <w:r w:rsidRPr="00C6384A">
        <w:rPr>
          <w:rFonts w:asciiTheme="majorBidi" w:hAnsiTheme="majorBidi" w:cstheme="majorBidi"/>
        </w:rPr>
        <w:t>.</w:t>
      </w:r>
    </w:p>
    <w:p w:rsidR="00512495" w:rsidRDefault="00512495" w:rsidP="00512495">
      <w:pPr>
        <w:shd w:val="clear" w:color="auto" w:fill="FFFFFF"/>
        <w:ind w:right="567" w:firstLine="7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Pr="00C6384A">
        <w:rPr>
          <w:rFonts w:asciiTheme="majorBidi" w:hAnsiTheme="majorBidi" w:cstheme="majorBidi"/>
        </w:rPr>
        <w:t xml:space="preserve"> sample of 109 managers evaluated their employees </w:t>
      </w:r>
      <w:r>
        <w:rPr>
          <w:rFonts w:asciiTheme="majorBidi" w:hAnsiTheme="majorBidi" w:cstheme="majorBidi"/>
        </w:rPr>
        <w:t xml:space="preserve">as well as group and organizational </w:t>
      </w:r>
      <w:r w:rsidRPr="00C6384A">
        <w:rPr>
          <w:rFonts w:asciiTheme="majorBidi" w:hAnsiTheme="majorBidi" w:cstheme="majorBidi"/>
        </w:rPr>
        <w:t xml:space="preserve">efficacies </w:t>
      </w:r>
      <w:r>
        <w:rPr>
          <w:rFonts w:asciiTheme="majorBidi" w:hAnsiTheme="majorBidi" w:cstheme="majorBidi"/>
        </w:rPr>
        <w:t>as predictors of employee</w:t>
      </w:r>
    </w:p>
    <w:p w:rsidR="00512495" w:rsidRDefault="00512495" w:rsidP="00512495">
      <w:pPr>
        <w:shd w:val="clear" w:color="auto" w:fill="FFFFFF"/>
        <w:ind w:right="567" w:firstLine="720"/>
        <w:jc w:val="right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/>
        </w:rPr>
        <w:t xml:space="preserve"> </w:t>
      </w:r>
      <w:proofErr w:type="gramStart"/>
      <w:r w:rsidRPr="00C6384A">
        <w:rPr>
          <w:rFonts w:asciiTheme="majorBidi" w:hAnsiTheme="majorBidi" w:cstheme="majorBidi"/>
        </w:rPr>
        <w:t>performance</w:t>
      </w:r>
      <w:proofErr w:type="gramEnd"/>
      <w:r w:rsidRPr="00C6384A">
        <w:rPr>
          <w:rFonts w:asciiTheme="majorBidi" w:hAnsiTheme="majorBidi" w:cstheme="majorBidi"/>
        </w:rPr>
        <w:t>.</w:t>
      </w:r>
    </w:p>
    <w:p w:rsidR="00E349CE" w:rsidRDefault="00512495" w:rsidP="00512495">
      <w:pPr>
        <w:shd w:val="clear" w:color="auto" w:fill="FFFFFF"/>
        <w:bidi w:val="0"/>
        <w:ind w:left="567" w:right="567"/>
        <w:rPr>
          <w:rFonts w:asciiTheme="majorBidi" w:hAnsiTheme="majorBidi" w:cstheme="majorBidi"/>
        </w:rPr>
      </w:pPr>
      <w:r w:rsidRPr="00C6384A">
        <w:rPr>
          <w:rFonts w:asciiTheme="majorBidi" w:hAnsiTheme="majorBidi" w:cstheme="majorBidi"/>
        </w:rPr>
        <w:t xml:space="preserve">The results show that </w:t>
      </w:r>
      <w:r>
        <w:rPr>
          <w:rFonts w:asciiTheme="majorBidi" w:hAnsiTheme="majorBidi" w:cstheme="majorBidi"/>
        </w:rPr>
        <w:t>managers' evaluation of employees' self-</w:t>
      </w:r>
      <w:r w:rsidRPr="00C6384A">
        <w:rPr>
          <w:rFonts w:asciiTheme="majorBidi" w:hAnsiTheme="majorBidi" w:cstheme="majorBidi"/>
        </w:rPr>
        <w:t xml:space="preserve">efficacy accounted for most of the explained variance for all performance facets. </w:t>
      </w:r>
      <w:r>
        <w:rPr>
          <w:rFonts w:asciiTheme="majorBidi" w:hAnsiTheme="majorBidi" w:cstheme="majorBidi"/>
        </w:rPr>
        <w:t xml:space="preserve">Managers' evaluation of collective </w:t>
      </w:r>
      <w:r w:rsidRPr="00C6384A">
        <w:rPr>
          <w:rFonts w:asciiTheme="majorBidi" w:hAnsiTheme="majorBidi" w:cstheme="majorBidi"/>
        </w:rPr>
        <w:t xml:space="preserve">efficacy added incremental </w:t>
      </w:r>
      <w:r>
        <w:rPr>
          <w:rFonts w:asciiTheme="majorBidi" w:hAnsiTheme="majorBidi" w:cstheme="majorBidi"/>
        </w:rPr>
        <w:t xml:space="preserve">explained </w:t>
      </w:r>
      <w:r w:rsidRPr="00C6384A">
        <w:rPr>
          <w:rFonts w:asciiTheme="majorBidi" w:hAnsiTheme="majorBidi" w:cstheme="majorBidi"/>
        </w:rPr>
        <w:t xml:space="preserve">variance to general performance as well as to innovation performance and efficiency performance. </w:t>
      </w:r>
      <w:r>
        <w:rPr>
          <w:rFonts w:asciiTheme="majorBidi" w:hAnsiTheme="majorBidi" w:cstheme="majorBidi"/>
        </w:rPr>
        <w:t>Managers' evaluation of m</w:t>
      </w:r>
      <w:r w:rsidRPr="00C6384A">
        <w:rPr>
          <w:rFonts w:asciiTheme="majorBidi" w:hAnsiTheme="majorBidi" w:cstheme="majorBidi"/>
        </w:rPr>
        <w:t xml:space="preserve">eans efficacy </w:t>
      </w:r>
      <w:r>
        <w:rPr>
          <w:rFonts w:asciiTheme="majorBidi" w:hAnsiTheme="majorBidi" w:cstheme="majorBidi"/>
        </w:rPr>
        <w:t xml:space="preserve">(provided to employees) </w:t>
      </w:r>
      <w:r w:rsidRPr="00C6384A">
        <w:rPr>
          <w:rFonts w:asciiTheme="majorBidi" w:hAnsiTheme="majorBidi" w:cstheme="majorBidi"/>
        </w:rPr>
        <w:t xml:space="preserve">added incremental </w:t>
      </w:r>
      <w:r>
        <w:rPr>
          <w:rFonts w:asciiTheme="majorBidi" w:hAnsiTheme="majorBidi" w:cstheme="majorBidi"/>
        </w:rPr>
        <w:t xml:space="preserve">explained </w:t>
      </w:r>
      <w:r w:rsidRPr="00C6384A">
        <w:rPr>
          <w:rFonts w:asciiTheme="majorBidi" w:hAnsiTheme="majorBidi" w:cstheme="majorBidi"/>
        </w:rPr>
        <w:t xml:space="preserve">variance to general performance as well as to innovation performance and </w:t>
      </w:r>
      <w:r>
        <w:rPr>
          <w:rFonts w:asciiTheme="majorBidi" w:hAnsiTheme="majorBidi" w:cstheme="majorBidi"/>
        </w:rPr>
        <w:t xml:space="preserve">the </w:t>
      </w:r>
      <w:r w:rsidRPr="00C6384A">
        <w:rPr>
          <w:rFonts w:asciiTheme="majorBidi" w:hAnsiTheme="majorBidi" w:cstheme="majorBidi"/>
        </w:rPr>
        <w:t xml:space="preserve">efficiency </w:t>
      </w:r>
      <w:r>
        <w:rPr>
          <w:rFonts w:asciiTheme="majorBidi" w:hAnsiTheme="majorBidi" w:cstheme="majorBidi"/>
        </w:rPr>
        <w:t xml:space="preserve">of </w:t>
      </w:r>
      <w:r w:rsidRPr="00C6384A">
        <w:rPr>
          <w:rFonts w:asciiTheme="majorBidi" w:hAnsiTheme="majorBidi" w:cstheme="majorBidi"/>
        </w:rPr>
        <w:t>performance</w:t>
      </w:r>
      <w:r>
        <w:rPr>
          <w:rFonts w:asciiTheme="majorBidi" w:hAnsiTheme="majorBidi" w:cstheme="majorBidi"/>
        </w:rPr>
        <w:t>.</w:t>
      </w:r>
      <w:r w:rsidRPr="00C6384A">
        <w:rPr>
          <w:rFonts w:asciiTheme="majorBidi" w:hAnsiTheme="majorBidi" w:cstheme="majorBidi"/>
        </w:rPr>
        <w:t xml:space="preserve"> Male managers differed from female managers in their predictions of employee</w:t>
      </w:r>
      <w:r>
        <w:rPr>
          <w:rFonts w:asciiTheme="majorBidi" w:hAnsiTheme="majorBidi" w:cstheme="majorBidi"/>
        </w:rPr>
        <w:t>s'</w:t>
      </w:r>
      <w:r w:rsidRPr="00C6384A">
        <w:rPr>
          <w:rFonts w:asciiTheme="majorBidi" w:hAnsiTheme="majorBidi" w:cstheme="majorBidi"/>
        </w:rPr>
        <w:t xml:space="preserve"> performance. </w:t>
      </w:r>
      <w:r>
        <w:rPr>
          <w:rFonts w:asciiTheme="majorBidi" w:hAnsiTheme="majorBidi" w:cstheme="majorBidi"/>
        </w:rPr>
        <w:t>T</w:t>
      </w:r>
      <w:r w:rsidRPr="00C6384A">
        <w:rPr>
          <w:rFonts w:asciiTheme="majorBidi" w:hAnsiTheme="majorBidi" w:cstheme="majorBidi"/>
        </w:rPr>
        <w:t>heoretical and practical implications for organizational behavior</w:t>
      </w:r>
    </w:p>
    <w:p w:rsidR="00512495" w:rsidRPr="00C6384A" w:rsidRDefault="00512495" w:rsidP="00E349CE">
      <w:pPr>
        <w:shd w:val="clear" w:color="auto" w:fill="FFFFFF"/>
        <w:bidi w:val="0"/>
        <w:ind w:left="567" w:right="567"/>
        <w:rPr>
          <w:rFonts w:asciiTheme="majorBidi" w:hAnsiTheme="majorBidi" w:cstheme="majorBidi"/>
        </w:rPr>
      </w:pPr>
      <w:r w:rsidRPr="00C6384A">
        <w:rPr>
          <w:rFonts w:asciiTheme="majorBidi" w:hAnsiTheme="majorBidi" w:cstheme="majorBidi"/>
        </w:rPr>
        <w:t xml:space="preserve"> </w:t>
      </w:r>
      <w:proofErr w:type="gramStart"/>
      <w:r w:rsidRPr="00C6384A">
        <w:rPr>
          <w:rFonts w:asciiTheme="majorBidi" w:hAnsiTheme="majorBidi" w:cstheme="majorBidi"/>
        </w:rPr>
        <w:t>are</w:t>
      </w:r>
      <w:proofErr w:type="gramEnd"/>
      <w:r w:rsidRPr="00C6384A">
        <w:rPr>
          <w:rFonts w:asciiTheme="majorBidi" w:hAnsiTheme="majorBidi" w:cstheme="majorBidi"/>
        </w:rPr>
        <w:t xml:space="preserve"> discussed.</w:t>
      </w:r>
    </w:p>
    <w:p w:rsidR="00512495" w:rsidRDefault="00512495" w:rsidP="00512495">
      <w:pPr>
        <w:autoSpaceDE w:val="0"/>
        <w:autoSpaceDN w:val="0"/>
        <w:bidi w:val="0"/>
        <w:adjustRightInd w:val="0"/>
        <w:ind w:left="3600" w:right="567"/>
        <w:jc w:val="both"/>
        <w:rPr>
          <w:rFonts w:asciiTheme="majorBidi" w:hAnsiTheme="majorBidi" w:cstheme="majorBidi"/>
          <w:b/>
          <w:bCs/>
          <w:color w:val="000000"/>
        </w:rPr>
      </w:pPr>
    </w:p>
    <w:p w:rsidR="00512495" w:rsidRDefault="00512495" w:rsidP="00512495">
      <w:pPr>
        <w:autoSpaceDE w:val="0"/>
        <w:autoSpaceDN w:val="0"/>
        <w:bidi w:val="0"/>
        <w:adjustRightInd w:val="0"/>
        <w:ind w:left="3600"/>
        <w:rPr>
          <w:rFonts w:asciiTheme="majorBidi" w:hAnsiTheme="majorBidi" w:cstheme="majorBidi"/>
          <w:b/>
          <w:bCs/>
          <w:color w:val="000000"/>
        </w:rPr>
      </w:pPr>
    </w:p>
    <w:p w:rsidR="00F70A0D" w:rsidRPr="00F70A0D" w:rsidRDefault="008968AF" w:rsidP="00512495">
      <w:pPr>
        <w:autoSpaceDE w:val="0"/>
        <w:autoSpaceDN w:val="0"/>
        <w:bidi w:val="0"/>
        <w:adjustRightInd w:val="0"/>
        <w:ind w:left="720" w:firstLine="720"/>
        <w:jc w:val="both"/>
        <w:rPr>
          <w:rFonts w:asciiTheme="majorBidi" w:hAnsiTheme="majorBidi" w:cstheme="majorBidi"/>
          <w:color w:val="004080"/>
        </w:rPr>
      </w:pPr>
      <w:r w:rsidRPr="00F70A0D">
        <w:rPr>
          <w:rFonts w:asciiTheme="majorBidi" w:hAnsiTheme="majorBidi" w:cstheme="majorBidi"/>
          <w:b/>
          <w:bCs/>
          <w:color w:val="000000"/>
        </w:rPr>
        <w:t xml:space="preserve">Tuesday, </w:t>
      </w:r>
      <w:r w:rsidR="00764666">
        <w:rPr>
          <w:rFonts w:asciiTheme="majorBidi" w:hAnsiTheme="majorBidi" w:cstheme="majorBidi"/>
          <w:b/>
          <w:bCs/>
          <w:color w:val="000000"/>
        </w:rPr>
        <w:t xml:space="preserve">January </w:t>
      </w:r>
      <w:r w:rsidR="00512495">
        <w:rPr>
          <w:rFonts w:asciiTheme="majorBidi" w:hAnsiTheme="majorBidi" w:cstheme="majorBidi"/>
          <w:b/>
          <w:bCs/>
          <w:color w:val="000000"/>
        </w:rPr>
        <w:t>19</w:t>
      </w:r>
      <w:r w:rsidR="008B27D8" w:rsidRPr="00F70A0D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F70A0D">
        <w:rPr>
          <w:rFonts w:asciiTheme="majorBidi" w:hAnsiTheme="majorBidi" w:cstheme="majorBidi"/>
          <w:b/>
          <w:bCs/>
          <w:color w:val="000000"/>
        </w:rPr>
        <w:t>201</w:t>
      </w:r>
      <w:r w:rsidR="00764666">
        <w:rPr>
          <w:rFonts w:asciiTheme="majorBidi" w:hAnsiTheme="majorBidi" w:cstheme="majorBidi"/>
          <w:b/>
          <w:bCs/>
          <w:color w:val="000000"/>
        </w:rPr>
        <w:t>6</w:t>
      </w:r>
      <w:proofErr w:type="gramStart"/>
      <w:r w:rsidRPr="00F70A0D">
        <w:rPr>
          <w:rFonts w:asciiTheme="majorBidi" w:hAnsiTheme="majorBidi" w:cstheme="majorBidi"/>
          <w:b/>
          <w:bCs/>
          <w:color w:val="000000"/>
        </w:rPr>
        <w:t xml:space="preserve">,  </w:t>
      </w:r>
      <w:r w:rsidR="000316A0" w:rsidRPr="00F70A0D">
        <w:rPr>
          <w:rFonts w:asciiTheme="majorBidi" w:hAnsiTheme="majorBidi" w:cstheme="majorBidi"/>
          <w:b/>
          <w:bCs/>
          <w:color w:val="000000"/>
        </w:rPr>
        <w:t>14</w:t>
      </w:r>
      <w:r w:rsidRPr="00F70A0D">
        <w:rPr>
          <w:rFonts w:asciiTheme="majorBidi" w:hAnsiTheme="majorBidi" w:cstheme="majorBidi"/>
          <w:b/>
          <w:bCs/>
          <w:color w:val="000000"/>
        </w:rPr>
        <w:t>:00</w:t>
      </w:r>
      <w:proofErr w:type="gramEnd"/>
      <w:r w:rsidRPr="00F70A0D">
        <w:rPr>
          <w:rFonts w:asciiTheme="majorBidi" w:hAnsiTheme="majorBidi" w:cstheme="majorBidi"/>
          <w:b/>
          <w:bCs/>
          <w:color w:val="000000"/>
        </w:rPr>
        <w:t xml:space="preserve">, </w:t>
      </w:r>
      <w:r w:rsidR="000C51FE" w:rsidRPr="00F70A0D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F70A0D">
        <w:rPr>
          <w:rFonts w:asciiTheme="majorBidi" w:hAnsiTheme="majorBidi" w:cstheme="majorBidi"/>
          <w:b/>
          <w:bCs/>
          <w:color w:val="000000"/>
        </w:rPr>
        <w:t>Building (504)</w:t>
      </w:r>
      <w:r w:rsidR="00573A5F" w:rsidRPr="00F70A0D">
        <w:rPr>
          <w:rFonts w:asciiTheme="majorBidi" w:hAnsiTheme="majorBidi" w:cstheme="majorBidi"/>
          <w:color w:val="004080"/>
        </w:rPr>
        <w:t xml:space="preserve"> </w:t>
      </w:r>
    </w:p>
    <w:p w:rsidR="00F70A0D" w:rsidRDefault="00F70A0D" w:rsidP="00764666">
      <w:pPr>
        <w:autoSpaceDE w:val="0"/>
        <w:autoSpaceDN w:val="0"/>
        <w:bidi w:val="0"/>
        <w:adjustRightInd w:val="0"/>
        <w:ind w:firstLine="72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Garamond" w:eastAsia="Times New Roman" w:hAnsi="Garamond" w:cs="Garamond"/>
          <w:b/>
          <w:bCs/>
          <w:color w:val="000000"/>
        </w:rPr>
        <w:t>Seminar room (11), Ground Floor, Economics and Business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Garamond" w:eastAsia="Times New Roman" w:hAnsi="Garamond" w:cs="Garamond"/>
          <w:b/>
          <w:bCs/>
          <w:color w:val="000000"/>
        </w:rPr>
        <w:t>School Building (504)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573A5F" w:rsidRPr="007C3BDA" w:rsidRDefault="00573A5F" w:rsidP="00764666">
      <w:pPr>
        <w:autoSpaceDE w:val="0"/>
        <w:autoSpaceDN w:val="0"/>
        <w:bidi w:val="0"/>
        <w:adjustRightInd w:val="0"/>
        <w:ind w:firstLine="720"/>
        <w:jc w:val="both"/>
        <w:rPr>
          <w:rFonts w:asciiTheme="majorBidi" w:hAnsiTheme="majorBidi" w:cstheme="majorBidi"/>
          <w:color w:val="004080"/>
          <w:sz w:val="20"/>
          <w:szCs w:val="20"/>
        </w:rPr>
      </w:pPr>
      <w:r w:rsidRPr="007C3BDA">
        <w:rPr>
          <w:rFonts w:asciiTheme="majorBidi" w:hAnsiTheme="majorBidi" w:cstheme="majorBidi"/>
          <w:color w:val="004080"/>
          <w:sz w:val="20"/>
          <w:szCs w:val="20"/>
        </w:rPr>
        <w:t xml:space="preserve">                  </w:t>
      </w:r>
    </w:p>
    <w:sectPr w:rsidR="00573A5F" w:rsidRPr="007C3BDA" w:rsidSect="0046626F">
      <w:footerReference w:type="default" r:id="rId8"/>
      <w:pgSz w:w="11906" w:h="16838"/>
      <w:pgMar w:top="2835" w:right="1985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5D" w:rsidRDefault="00DF405D" w:rsidP="00D036F0">
      <w:r>
        <w:separator/>
      </w:r>
    </w:p>
  </w:endnote>
  <w:endnote w:type="continuationSeparator" w:id="0">
    <w:p w:rsidR="00DF405D" w:rsidRDefault="00DF405D" w:rsidP="00D0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5D" w:rsidRDefault="00DF405D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5D" w:rsidRDefault="00DF405D" w:rsidP="00D036F0">
      <w:r>
        <w:separator/>
      </w:r>
    </w:p>
  </w:footnote>
  <w:footnote w:type="continuationSeparator" w:id="0">
    <w:p w:rsidR="00DF405D" w:rsidRDefault="00DF405D" w:rsidP="00D0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04E18"/>
    <w:rsid w:val="00004FFD"/>
    <w:rsid w:val="000125D8"/>
    <w:rsid w:val="000316A0"/>
    <w:rsid w:val="00041E06"/>
    <w:rsid w:val="00084A44"/>
    <w:rsid w:val="000B5ED7"/>
    <w:rsid w:val="000C51FE"/>
    <w:rsid w:val="002100CD"/>
    <w:rsid w:val="00255B81"/>
    <w:rsid w:val="002B4FC7"/>
    <w:rsid w:val="003173EA"/>
    <w:rsid w:val="003E5B09"/>
    <w:rsid w:val="00401E5D"/>
    <w:rsid w:val="00432809"/>
    <w:rsid w:val="00457051"/>
    <w:rsid w:val="0046626F"/>
    <w:rsid w:val="004A4249"/>
    <w:rsid w:val="005034E8"/>
    <w:rsid w:val="0050480B"/>
    <w:rsid w:val="00512495"/>
    <w:rsid w:val="005157F5"/>
    <w:rsid w:val="00525693"/>
    <w:rsid w:val="00567D31"/>
    <w:rsid w:val="00573A5F"/>
    <w:rsid w:val="005A2CE3"/>
    <w:rsid w:val="005A3972"/>
    <w:rsid w:val="005B6320"/>
    <w:rsid w:val="005D73AD"/>
    <w:rsid w:val="00615232"/>
    <w:rsid w:val="00621955"/>
    <w:rsid w:val="006B400B"/>
    <w:rsid w:val="006D481C"/>
    <w:rsid w:val="007009F9"/>
    <w:rsid w:val="00713A0E"/>
    <w:rsid w:val="0072054C"/>
    <w:rsid w:val="00747D81"/>
    <w:rsid w:val="00760FED"/>
    <w:rsid w:val="007617A1"/>
    <w:rsid w:val="007635BF"/>
    <w:rsid w:val="00764666"/>
    <w:rsid w:val="007C3BDA"/>
    <w:rsid w:val="00816A49"/>
    <w:rsid w:val="00895D89"/>
    <w:rsid w:val="008968AF"/>
    <w:rsid w:val="008A2756"/>
    <w:rsid w:val="008B27D8"/>
    <w:rsid w:val="008B6FD0"/>
    <w:rsid w:val="008C3D29"/>
    <w:rsid w:val="008C6B7B"/>
    <w:rsid w:val="008D55A3"/>
    <w:rsid w:val="00902B97"/>
    <w:rsid w:val="00910417"/>
    <w:rsid w:val="00925C7E"/>
    <w:rsid w:val="00987A88"/>
    <w:rsid w:val="00995422"/>
    <w:rsid w:val="009C579D"/>
    <w:rsid w:val="009F0FC6"/>
    <w:rsid w:val="009F4AE4"/>
    <w:rsid w:val="00A2548A"/>
    <w:rsid w:val="00A5397F"/>
    <w:rsid w:val="00A85F8C"/>
    <w:rsid w:val="00AA6EF7"/>
    <w:rsid w:val="00AE13E3"/>
    <w:rsid w:val="00AF2499"/>
    <w:rsid w:val="00AF5EEB"/>
    <w:rsid w:val="00B1176D"/>
    <w:rsid w:val="00B86EF3"/>
    <w:rsid w:val="00BA2615"/>
    <w:rsid w:val="00BA6197"/>
    <w:rsid w:val="00C23E0C"/>
    <w:rsid w:val="00C30E6D"/>
    <w:rsid w:val="00C4636C"/>
    <w:rsid w:val="00D036F0"/>
    <w:rsid w:val="00D17AB6"/>
    <w:rsid w:val="00D415F5"/>
    <w:rsid w:val="00D46ECF"/>
    <w:rsid w:val="00D56DEA"/>
    <w:rsid w:val="00D62236"/>
    <w:rsid w:val="00DA0784"/>
    <w:rsid w:val="00DA2CB4"/>
    <w:rsid w:val="00DC2A0C"/>
    <w:rsid w:val="00DE6A91"/>
    <w:rsid w:val="00DF405D"/>
    <w:rsid w:val="00E14EB3"/>
    <w:rsid w:val="00E2124B"/>
    <w:rsid w:val="00E349CE"/>
    <w:rsid w:val="00E628C3"/>
    <w:rsid w:val="00E9722F"/>
    <w:rsid w:val="00EC58EA"/>
    <w:rsid w:val="00EF688D"/>
    <w:rsid w:val="00F02209"/>
    <w:rsid w:val="00F02F9B"/>
    <w:rsid w:val="00F3391A"/>
    <w:rsid w:val="00F63172"/>
    <w:rsid w:val="00F70A0D"/>
    <w:rsid w:val="00FD72A8"/>
    <w:rsid w:val="00FE0EFB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5518A66-037E-4A36-9671-4EFC31CE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0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0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0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0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0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0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0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0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customStyle="1" w:styleId="10">
    <w:name w:val="כותרת 1 תו"/>
    <w:basedOn w:val="a0"/>
    <w:link w:val="1"/>
    <w:uiPriority w:val="9"/>
    <w:rsid w:val="002100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2100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2100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2100CD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2100CD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2100CD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2100CD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2100CD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2100CD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100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כותרת טקסט תו"/>
    <w:basedOn w:val="a0"/>
    <w:link w:val="a9"/>
    <w:uiPriority w:val="10"/>
    <w:rsid w:val="002100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100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כותרת משנה תו"/>
    <w:basedOn w:val="a0"/>
    <w:link w:val="ab"/>
    <w:uiPriority w:val="11"/>
    <w:rsid w:val="002100C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100CD"/>
    <w:rPr>
      <w:b/>
      <w:bCs/>
    </w:rPr>
  </w:style>
  <w:style w:type="character" w:styleId="ae">
    <w:name w:val="Emphasis"/>
    <w:basedOn w:val="a0"/>
    <w:uiPriority w:val="20"/>
    <w:qFormat/>
    <w:rsid w:val="002100CD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2100CD"/>
    <w:rPr>
      <w:szCs w:val="32"/>
    </w:rPr>
  </w:style>
  <w:style w:type="paragraph" w:styleId="af0">
    <w:name w:val="List Paragraph"/>
    <w:basedOn w:val="a"/>
    <w:uiPriority w:val="34"/>
    <w:qFormat/>
    <w:rsid w:val="002100CD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2100CD"/>
    <w:rPr>
      <w:i/>
    </w:rPr>
  </w:style>
  <w:style w:type="character" w:customStyle="1" w:styleId="af2">
    <w:name w:val="ציטוט תו"/>
    <w:basedOn w:val="a0"/>
    <w:link w:val="af1"/>
    <w:uiPriority w:val="29"/>
    <w:rsid w:val="002100C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100CD"/>
    <w:pPr>
      <w:ind w:left="720" w:right="720"/>
    </w:pPr>
    <w:rPr>
      <w:b/>
      <w:i/>
      <w:szCs w:val="22"/>
    </w:rPr>
  </w:style>
  <w:style w:type="character" w:customStyle="1" w:styleId="af4">
    <w:name w:val="ציטוט חזק תו"/>
    <w:basedOn w:val="a0"/>
    <w:link w:val="af3"/>
    <w:uiPriority w:val="30"/>
    <w:rsid w:val="002100CD"/>
    <w:rPr>
      <w:b/>
      <w:i/>
      <w:sz w:val="24"/>
    </w:rPr>
  </w:style>
  <w:style w:type="character" w:styleId="af5">
    <w:name w:val="Subtle Emphasis"/>
    <w:uiPriority w:val="19"/>
    <w:qFormat/>
    <w:rsid w:val="002100C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2100C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2100C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2100C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100CD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100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15BB-00A1-44D8-9F93-0467681E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5</cp:revision>
  <cp:lastPrinted>2016-01-12T08:13:00Z</cp:lastPrinted>
  <dcterms:created xsi:type="dcterms:W3CDTF">2016-01-12T08:03:00Z</dcterms:created>
  <dcterms:modified xsi:type="dcterms:W3CDTF">2016-01-12T08:13:00Z</dcterms:modified>
</cp:coreProperties>
</file>